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09E4" w:rsidRDefault="0049432C">
      <w:pPr>
        <w:pStyle w:val="Title"/>
        <w:rPr>
          <w:rFonts w:ascii="Lato" w:eastAsia="Lato" w:hAnsi="Lato" w:cs="Lato"/>
        </w:rPr>
      </w:pPr>
      <w:bookmarkStart w:id="0" w:name="_z09vzfhvqtqg" w:colFirst="0" w:colLast="0"/>
      <w:bookmarkEnd w:id="0"/>
      <w:r>
        <w:rPr>
          <w:rFonts w:ascii="Lato" w:eastAsia="Lato" w:hAnsi="Lato" w:cs="Lato"/>
        </w:rPr>
        <w:t>Inclusive language checklist</w:t>
      </w:r>
    </w:p>
    <w:p w14:paraId="00000002" w14:textId="77777777" w:rsidR="00B209E4" w:rsidRDefault="00B209E4">
      <w:pPr>
        <w:ind w:left="720"/>
        <w:rPr>
          <w:rFonts w:ascii="Lato" w:eastAsia="Lato" w:hAnsi="Lato" w:cs="Lato"/>
          <w:sz w:val="26"/>
          <w:szCs w:val="26"/>
        </w:rPr>
      </w:pPr>
    </w:p>
    <w:p w14:paraId="00000003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  <w:color w:val="1155CC"/>
          <w:u w:val="single"/>
        </w:rPr>
        <w:t>Unnecessary</w:t>
      </w:r>
      <w:hyperlink r:id="rId7" w:anchor="use_genderneutral_language">
        <w:r>
          <w:rPr>
            <w:rFonts w:ascii="Lato" w:eastAsia="Lato" w:hAnsi="Lato" w:cs="Lato"/>
            <w:color w:val="1155CC"/>
            <w:u w:val="single"/>
          </w:rPr>
          <w:t xml:space="preserve"> gendered language</w:t>
        </w:r>
      </w:hyperlink>
      <w:r>
        <w:rPr>
          <w:rFonts w:ascii="Lato" w:eastAsia="Lato" w:hAnsi="Lato" w:cs="Lato"/>
        </w:rPr>
        <w:t xml:space="preserve"> is avoided.</w:t>
      </w:r>
    </w:p>
    <w:p w14:paraId="00000004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hyperlink r:id="rId8">
        <w:r>
          <w:rPr>
            <w:rFonts w:ascii="Lato" w:eastAsia="Lato" w:hAnsi="Lato" w:cs="Lato"/>
            <w:color w:val="1155CC"/>
            <w:u w:val="single"/>
          </w:rPr>
          <w:t>LGBTQA+</w:t>
        </w:r>
      </w:hyperlink>
      <w:r>
        <w:rPr>
          <w:rFonts w:ascii="Lato" w:eastAsia="Lato" w:hAnsi="Lato" w:cs="Lato"/>
        </w:rPr>
        <w:t xml:space="preserve"> preferred terms are used.</w:t>
      </w:r>
    </w:p>
    <w:p w14:paraId="00000005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hyperlink r:id="rId9">
        <w:r>
          <w:rPr>
            <w:rFonts w:ascii="Lato" w:eastAsia="Lato" w:hAnsi="Lato" w:cs="Lato"/>
            <w:color w:val="1155CC"/>
            <w:u w:val="single"/>
          </w:rPr>
          <w:t>Ableist language</w:t>
        </w:r>
      </w:hyperlink>
      <w:r>
        <w:rPr>
          <w:rFonts w:ascii="Lato" w:eastAsia="Lato" w:hAnsi="Lato" w:cs="Lato"/>
        </w:rPr>
        <w:t xml:space="preserve"> is avoided, and context-specific terminology is conside</w:t>
      </w:r>
      <w:r>
        <w:rPr>
          <w:rFonts w:ascii="Lato" w:eastAsia="Lato" w:hAnsi="Lato" w:cs="Lato"/>
        </w:rPr>
        <w:t>red.</w:t>
      </w:r>
    </w:p>
    <w:p w14:paraId="00000006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hyperlink r:id="rId10" w:anchor="speak_to_the_person_not_their_difference">
        <w:r>
          <w:rPr>
            <w:rFonts w:ascii="Lato" w:eastAsia="Lato" w:hAnsi="Lato" w:cs="Lato"/>
            <w:color w:val="1155CC"/>
            <w:u w:val="single"/>
          </w:rPr>
          <w:t>Terms that respect the diversity of people</w:t>
        </w:r>
      </w:hyperlink>
      <w:r>
        <w:rPr>
          <w:rFonts w:ascii="Lato" w:eastAsia="Lato" w:hAnsi="Lato" w:cs="Lato"/>
          <w:color w:val="1155CC"/>
          <w:u w:val="single"/>
        </w:rPr>
        <w:t xml:space="preserve"> </w:t>
      </w:r>
      <w:r>
        <w:rPr>
          <w:rFonts w:ascii="Lato" w:eastAsia="Lato" w:hAnsi="Lato" w:cs="Lato"/>
        </w:rPr>
        <w:t>are used when describing r</w:t>
      </w:r>
      <w:r>
        <w:rPr>
          <w:rFonts w:ascii="Lato" w:eastAsia="Lato" w:hAnsi="Lato" w:cs="Lato"/>
        </w:rPr>
        <w:t>acial and ethnic groups.</w:t>
      </w:r>
    </w:p>
    <w:p w14:paraId="00000007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Ethnocentric language is avoided.</w:t>
      </w:r>
    </w:p>
    <w:p w14:paraId="00000008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If using historical terminology, add a note to provide context. </w:t>
      </w:r>
    </w:p>
    <w:p w14:paraId="00000009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Plain language is used, and slang, colloquialisms, metaphors, and culture-specific references or language connections are avoided. </w:t>
      </w:r>
    </w:p>
    <w:p w14:paraId="0000000A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Resources that reflect diversity (examples, scenarios, names, and pictures) are used. </w:t>
      </w:r>
    </w:p>
    <w:p w14:paraId="0000000B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The historical lack of representation for the given context is considered. </w:t>
      </w:r>
    </w:p>
    <w:p w14:paraId="0000000C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Reference lists reflect experts from a wide range of backgrounds.</w:t>
      </w:r>
    </w:p>
    <w:p w14:paraId="0000000D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hyperlink r:id="rId11" w:anchor=":~:text=Avoid%20using%20broad%2C%20pejorative%2C%20and%20generalizing%20terms%20to,%E2%80%9Cghetto%2C%E2%80%9D%20%E2%80%9Cthe%20projects%2C%E2%80%9D%20%E2%80%9Cpoverty%20stricken%2C%E2%80%9D%20and%20%E2%80%9Cwelfare%20reliant.%E2%80%9D">
        <w:r>
          <w:rPr>
            <w:rFonts w:ascii="Lato" w:eastAsia="Lato" w:hAnsi="Lato" w:cs="Lato"/>
            <w:color w:val="1155CC"/>
            <w:u w:val="single"/>
          </w:rPr>
          <w:t>Broad, pejorative and generalising terms</w:t>
        </w:r>
      </w:hyperlink>
      <w:r>
        <w:rPr>
          <w:rFonts w:ascii="Lato" w:eastAsia="Lato" w:hAnsi="Lato" w:cs="Lato"/>
        </w:rPr>
        <w:t xml:space="preserve"> to discuss socioeconomic status are avoided.</w:t>
      </w:r>
    </w:p>
    <w:p w14:paraId="0000000E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hyperlink r:id="rId12">
        <w:r>
          <w:rPr>
            <w:rFonts w:ascii="Lato" w:eastAsia="Lato" w:hAnsi="Lato" w:cs="Lato"/>
            <w:color w:val="1155CC"/>
            <w:u w:val="single"/>
          </w:rPr>
          <w:t>Appropriate and respectful language</w:t>
        </w:r>
      </w:hyperlink>
      <w:r>
        <w:rPr>
          <w:rFonts w:ascii="Lato" w:eastAsia="Lato" w:hAnsi="Lato" w:cs="Lato"/>
        </w:rPr>
        <w:t xml:space="preserve"> is used for Aboriginal and Torres Strait Islander peoples.</w:t>
      </w:r>
    </w:p>
    <w:p w14:paraId="0000000F" w14:textId="77777777" w:rsidR="00B209E4" w:rsidRDefault="0049432C">
      <w:pPr>
        <w:numPr>
          <w:ilvl w:val="0"/>
          <w:numId w:val="1"/>
        </w:numPr>
        <w:spacing w:line="360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>Consultation with relevant communities about terminology has occurred (if necessary).</w:t>
      </w:r>
    </w:p>
    <w:p w14:paraId="00000010" w14:textId="77777777" w:rsidR="00B209E4" w:rsidRDefault="00B209E4">
      <w:pPr>
        <w:rPr>
          <w:rFonts w:ascii="Lato" w:eastAsia="Lato" w:hAnsi="Lato" w:cs="Lato"/>
          <w:sz w:val="26"/>
          <w:szCs w:val="26"/>
        </w:rPr>
      </w:pPr>
    </w:p>
    <w:p w14:paraId="00000011" w14:textId="77777777" w:rsidR="00B209E4" w:rsidRDefault="00B209E4">
      <w:pPr>
        <w:rPr>
          <w:rFonts w:ascii="Lato" w:eastAsia="Lato" w:hAnsi="Lato" w:cs="Lato"/>
          <w:sz w:val="26"/>
          <w:szCs w:val="26"/>
        </w:rPr>
      </w:pPr>
    </w:p>
    <w:p w14:paraId="23E30B09" w14:textId="77777777" w:rsidR="00E54297" w:rsidRDefault="00E54297">
      <w:pPr>
        <w:rPr>
          <w:rFonts w:ascii="Lato" w:eastAsia="Lato" w:hAnsi="Lato" w:cs="Lato"/>
          <w:sz w:val="40"/>
          <w:szCs w:val="40"/>
        </w:rPr>
      </w:pPr>
      <w:bookmarkStart w:id="1" w:name="_i9vvlsu7rbwx" w:colFirst="0" w:colLast="0"/>
      <w:bookmarkEnd w:id="1"/>
      <w:r>
        <w:rPr>
          <w:rFonts w:ascii="Lato" w:eastAsia="Lato" w:hAnsi="Lato" w:cs="Lato"/>
        </w:rPr>
        <w:br w:type="page"/>
      </w:r>
    </w:p>
    <w:p w14:paraId="00000012" w14:textId="3B9D7D77" w:rsidR="00B209E4" w:rsidRDefault="0049432C">
      <w:pPr>
        <w:pStyle w:val="Heading1"/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>References</w:t>
      </w:r>
    </w:p>
    <w:p w14:paraId="00000013" w14:textId="77777777" w:rsidR="00B209E4" w:rsidRDefault="00B209E4">
      <w:pPr>
        <w:rPr>
          <w:rFonts w:ascii="Lato" w:eastAsia="Lato" w:hAnsi="Lato" w:cs="Lato"/>
          <w:sz w:val="26"/>
          <w:szCs w:val="26"/>
        </w:rPr>
      </w:pPr>
    </w:p>
    <w:p w14:paraId="00000014" w14:textId="77777777" w:rsidR="00B209E4" w:rsidRDefault="0049432C">
      <w:pPr>
        <w:ind w:left="720" w:hanging="720"/>
        <w:rPr>
          <w:rFonts w:ascii="Lato" w:eastAsia="Lato" w:hAnsi="Lato" w:cs="Lato"/>
          <w:sz w:val="26"/>
          <w:szCs w:val="26"/>
        </w:rPr>
      </w:pPr>
      <w:r>
        <w:rPr>
          <w:rFonts w:ascii="Lato" w:eastAsia="Lato" w:hAnsi="Lato" w:cs="Lato"/>
          <w:sz w:val="24"/>
          <w:szCs w:val="24"/>
        </w:rPr>
        <w:t>American Psychol</w:t>
      </w:r>
      <w:r>
        <w:rPr>
          <w:rFonts w:ascii="Lato" w:eastAsia="Lato" w:hAnsi="Lato" w:cs="Lato"/>
          <w:sz w:val="24"/>
          <w:szCs w:val="24"/>
        </w:rPr>
        <w:t xml:space="preserve">ogical Association. (n.d.). </w:t>
      </w:r>
      <w:r>
        <w:rPr>
          <w:rFonts w:ascii="Lato" w:eastAsia="Lato" w:hAnsi="Lato" w:cs="Lato"/>
          <w:i/>
          <w:sz w:val="24"/>
          <w:szCs w:val="24"/>
        </w:rPr>
        <w:t>Equity, diversity, and inclusion: Inclusive language guidelines</w:t>
      </w:r>
      <w:r>
        <w:rPr>
          <w:rFonts w:ascii="Lato" w:eastAsia="Lato" w:hAnsi="Lato" w:cs="Lato"/>
          <w:sz w:val="24"/>
          <w:szCs w:val="24"/>
        </w:rPr>
        <w:t xml:space="preserve">. </w:t>
      </w:r>
      <w:hyperlink r:id="rId13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https://www.apa.org/about/apa/equity-diversity-inclusion/language-g</w:t>
        </w:r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uidelines</w:t>
        </w:r>
      </w:hyperlink>
    </w:p>
    <w:p w14:paraId="00000015" w14:textId="77777777" w:rsidR="00B209E4" w:rsidRDefault="00B209E4">
      <w:pPr>
        <w:ind w:left="720" w:hanging="720"/>
        <w:rPr>
          <w:rFonts w:ascii="Lato" w:eastAsia="Lato" w:hAnsi="Lato" w:cs="Lato"/>
          <w:sz w:val="26"/>
          <w:szCs w:val="26"/>
        </w:rPr>
      </w:pPr>
    </w:p>
    <w:p w14:paraId="00000016" w14:textId="77777777" w:rsidR="00B209E4" w:rsidRDefault="0049432C">
      <w:pPr>
        <w:ind w:left="720" w:hanging="72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Australian Government. (n.d.). </w:t>
      </w:r>
      <w:r>
        <w:rPr>
          <w:rFonts w:ascii="Lato" w:eastAsia="Lato" w:hAnsi="Lato" w:cs="Lato"/>
          <w:i/>
          <w:sz w:val="24"/>
          <w:szCs w:val="24"/>
        </w:rPr>
        <w:t>Inclusive language</w:t>
      </w:r>
      <w:r>
        <w:rPr>
          <w:rFonts w:ascii="Lato" w:eastAsia="Lato" w:hAnsi="Lato" w:cs="Lato"/>
          <w:sz w:val="24"/>
          <w:szCs w:val="24"/>
        </w:rPr>
        <w:t xml:space="preserve">. Australian Government Style Manual. </w:t>
      </w:r>
      <w:hyperlink r:id="rId14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https://www.stylemanual.gov.au/accessible-and-inclusive-content/inclusive-language</w:t>
        </w:r>
      </w:hyperlink>
    </w:p>
    <w:p w14:paraId="00000017" w14:textId="77777777" w:rsidR="00B209E4" w:rsidRDefault="00B209E4">
      <w:pPr>
        <w:ind w:left="720" w:hanging="720"/>
        <w:rPr>
          <w:rFonts w:ascii="Lato" w:eastAsia="Lato" w:hAnsi="Lato" w:cs="Lato"/>
          <w:sz w:val="24"/>
          <w:szCs w:val="24"/>
        </w:rPr>
      </w:pPr>
    </w:p>
    <w:p w14:paraId="00000018" w14:textId="77777777" w:rsidR="00B209E4" w:rsidRDefault="0049432C">
      <w:pPr>
        <w:ind w:left="720" w:hanging="720"/>
        <w:rPr>
          <w:rFonts w:ascii="Lato" w:eastAsia="Lato" w:hAnsi="Lato" w:cs="Lato"/>
          <w:sz w:val="26"/>
          <w:szCs w:val="26"/>
        </w:rPr>
      </w:pPr>
      <w:r>
        <w:rPr>
          <w:rFonts w:ascii="Lato" w:eastAsia="Lato" w:hAnsi="Lato" w:cs="Lato"/>
          <w:sz w:val="24"/>
          <w:szCs w:val="24"/>
        </w:rPr>
        <w:t xml:space="preserve">Council of Australian University Librarians. (n.d.). </w:t>
      </w:r>
      <w:r>
        <w:rPr>
          <w:rFonts w:ascii="Lato" w:eastAsia="Lato" w:hAnsi="Lato" w:cs="Lato"/>
          <w:i/>
          <w:sz w:val="24"/>
          <w:szCs w:val="24"/>
        </w:rPr>
        <w:t>Check against inclu</w:t>
      </w:r>
      <w:r>
        <w:rPr>
          <w:rFonts w:ascii="Lato" w:eastAsia="Lato" w:hAnsi="Lato" w:cs="Lato"/>
          <w:i/>
          <w:sz w:val="24"/>
          <w:szCs w:val="24"/>
        </w:rPr>
        <w:t>sion and diversity standards</w:t>
      </w:r>
      <w:r>
        <w:rPr>
          <w:rFonts w:ascii="Lato" w:eastAsia="Lato" w:hAnsi="Lato" w:cs="Lato"/>
          <w:sz w:val="24"/>
          <w:szCs w:val="24"/>
        </w:rPr>
        <w:t xml:space="preserve">.  CAUL Open Educational Resources Collective Publishing Workflow. </w:t>
      </w:r>
      <w:hyperlink r:id="rId15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https://caul.libguides.com/oer-collective-publi</w:t>
        </w:r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shing-workflow/review/check-inclusion-diversity</w:t>
        </w:r>
      </w:hyperlink>
    </w:p>
    <w:p w14:paraId="00000019" w14:textId="77777777" w:rsidR="00B209E4" w:rsidRDefault="0049432C">
      <w:pPr>
        <w:ind w:left="720" w:hanging="720"/>
        <w:rPr>
          <w:rFonts w:ascii="Lato" w:eastAsia="Lato" w:hAnsi="Lato" w:cs="Lato"/>
          <w:sz w:val="26"/>
          <w:szCs w:val="26"/>
        </w:rPr>
      </w:pPr>
      <w:r>
        <w:rPr>
          <w:rFonts w:ascii="Lato" w:eastAsia="Lato" w:hAnsi="Lato" w:cs="Lato"/>
          <w:sz w:val="24"/>
          <w:szCs w:val="24"/>
        </w:rPr>
        <w:t xml:space="preserve">Elder, A. K. (2019). </w:t>
      </w:r>
      <w:r>
        <w:rPr>
          <w:rFonts w:ascii="Lato" w:eastAsia="Lato" w:hAnsi="Lato" w:cs="Lato"/>
          <w:i/>
          <w:sz w:val="24"/>
          <w:szCs w:val="24"/>
        </w:rPr>
        <w:t>The OER starter kit</w:t>
      </w:r>
      <w:r>
        <w:rPr>
          <w:rFonts w:ascii="Lato" w:eastAsia="Lato" w:hAnsi="Lato" w:cs="Lato"/>
          <w:sz w:val="24"/>
          <w:szCs w:val="24"/>
        </w:rPr>
        <w:t xml:space="preserve"> (Version 1.1). Iowa State University Digital Press. </w:t>
      </w:r>
      <w:hyperlink r:id="rId16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https://iastate.pressbooks.pub/oerstarterkit/</w:t>
        </w:r>
      </w:hyperlink>
    </w:p>
    <w:p w14:paraId="0000001A" w14:textId="77777777" w:rsidR="00B209E4" w:rsidRDefault="00B209E4">
      <w:pPr>
        <w:ind w:left="720" w:hanging="720"/>
        <w:rPr>
          <w:rFonts w:ascii="Lato" w:eastAsia="Lato" w:hAnsi="Lato" w:cs="Lato"/>
          <w:sz w:val="26"/>
          <w:szCs w:val="26"/>
        </w:rPr>
      </w:pPr>
    </w:p>
    <w:p w14:paraId="0000001B" w14:textId="77777777" w:rsidR="00B209E4" w:rsidRDefault="0049432C">
      <w:pPr>
        <w:ind w:left="720" w:hanging="720"/>
        <w:rPr>
          <w:rFonts w:ascii="Lato" w:eastAsia="Lato" w:hAnsi="Lato" w:cs="Lato"/>
          <w:sz w:val="26"/>
          <w:szCs w:val="26"/>
        </w:rPr>
      </w:pPr>
      <w:r>
        <w:rPr>
          <w:rFonts w:ascii="Lato" w:eastAsia="Lato" w:hAnsi="Lato" w:cs="Lato"/>
          <w:sz w:val="24"/>
          <w:szCs w:val="24"/>
        </w:rPr>
        <w:t xml:space="preserve">Andersen, N., King, D., Stagg, A., &amp; Bell, E. (2023.). </w:t>
      </w:r>
      <w:r>
        <w:rPr>
          <w:rFonts w:ascii="Lato" w:eastAsia="Lato" w:hAnsi="Lato" w:cs="Lato"/>
          <w:i/>
          <w:sz w:val="24"/>
          <w:szCs w:val="24"/>
        </w:rPr>
        <w:t>Open publishing guide for authors</w:t>
      </w:r>
      <w:r>
        <w:rPr>
          <w:rFonts w:ascii="Lato" w:eastAsia="Lato" w:hAnsi="Lato" w:cs="Lato"/>
          <w:sz w:val="24"/>
          <w:szCs w:val="24"/>
        </w:rPr>
        <w:t xml:space="preserve">. University of Southern Queensland. </w:t>
      </w:r>
      <w:hyperlink r:id="rId17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https://usq.pressbooks</w:t>
        </w:r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.pub/openpublishingguideforauthors/chapter/diversity-and-inclusion/</w:t>
        </w:r>
      </w:hyperlink>
    </w:p>
    <w:p w14:paraId="0000001C" w14:textId="77777777" w:rsidR="00B209E4" w:rsidRDefault="00B209E4">
      <w:pPr>
        <w:rPr>
          <w:rFonts w:ascii="Lato" w:eastAsia="Lato" w:hAnsi="Lato" w:cs="Lato"/>
          <w:sz w:val="26"/>
          <w:szCs w:val="26"/>
        </w:rPr>
      </w:pPr>
    </w:p>
    <w:p w14:paraId="0000001D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3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4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5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6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7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8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9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A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B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2C" w14:textId="77777777" w:rsidR="00B209E4" w:rsidRDefault="00B209E4">
      <w:pPr>
        <w:spacing w:after="160" w:line="259" w:lineRule="auto"/>
        <w:rPr>
          <w:rFonts w:ascii="Lato" w:eastAsia="Lato" w:hAnsi="Lato" w:cs="Lato"/>
          <w:sz w:val="21"/>
          <w:szCs w:val="21"/>
        </w:rPr>
      </w:pPr>
    </w:p>
    <w:p w14:paraId="00000030" w14:textId="77777777" w:rsidR="00B209E4" w:rsidRDefault="00B209E4">
      <w:pPr>
        <w:spacing w:after="160" w:line="259" w:lineRule="auto"/>
        <w:rPr>
          <w:rFonts w:ascii="Lato" w:eastAsia="Lato" w:hAnsi="Lato" w:cs="Lato"/>
        </w:rPr>
      </w:pPr>
    </w:p>
    <w:p w14:paraId="00000031" w14:textId="77777777" w:rsidR="00B209E4" w:rsidRDefault="00B209E4">
      <w:pPr>
        <w:spacing w:after="160" w:line="259" w:lineRule="auto"/>
        <w:rPr>
          <w:rFonts w:ascii="Lato" w:eastAsia="Lato" w:hAnsi="Lato" w:cs="Lato"/>
        </w:rPr>
      </w:pPr>
    </w:p>
    <w:p w14:paraId="00000032" w14:textId="77777777" w:rsidR="00B209E4" w:rsidRDefault="00B209E4">
      <w:pPr>
        <w:spacing w:after="160" w:line="259" w:lineRule="auto"/>
        <w:rPr>
          <w:rFonts w:ascii="Lato" w:eastAsia="Lato" w:hAnsi="Lato" w:cs="Lato"/>
        </w:rPr>
      </w:pPr>
    </w:p>
    <w:sectPr w:rsidR="00B209E4"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AA4" w14:textId="77777777" w:rsidR="0049432C" w:rsidRDefault="0049432C">
      <w:pPr>
        <w:spacing w:line="240" w:lineRule="auto"/>
      </w:pPr>
      <w:r>
        <w:separator/>
      </w:r>
    </w:p>
  </w:endnote>
  <w:endnote w:type="continuationSeparator" w:id="0">
    <w:p w14:paraId="3D4E5B29" w14:textId="77777777" w:rsidR="0049432C" w:rsidRDefault="00494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B209E4" w:rsidRDefault="0049432C">
    <w:pPr>
      <w:spacing w:after="160" w:line="259" w:lineRule="auto"/>
    </w:pPr>
    <w:r>
      <w:rPr>
        <w:rFonts w:ascii="Lato" w:eastAsia="Lato" w:hAnsi="Lato" w:cs="Lato"/>
      </w:rPr>
      <w:t xml:space="preserve">Suggested attribution: "Inclusive language checklist" by Monash University Library is licensed under </w:t>
    </w:r>
    <w:hyperlink r:id="rId1">
      <w:r>
        <w:rPr>
          <w:rFonts w:ascii="Lato" w:eastAsia="Lato" w:hAnsi="Lato" w:cs="Lato"/>
          <w:color w:val="1155CC"/>
          <w:u w:val="single"/>
        </w:rPr>
        <w:t>CC BY- NC 4.0</w:t>
      </w:r>
    </w:hyperlink>
    <w:r>
      <w:rPr>
        <w:rFonts w:ascii="Lato" w:eastAsia="Lato" w:hAnsi="Lato" w:cs="Lat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B209E4" w:rsidRDefault="00B209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C127" w14:textId="77777777" w:rsidR="0049432C" w:rsidRDefault="0049432C">
      <w:pPr>
        <w:spacing w:line="240" w:lineRule="auto"/>
      </w:pPr>
      <w:r>
        <w:separator/>
      </w:r>
    </w:p>
  </w:footnote>
  <w:footnote w:type="continuationSeparator" w:id="0">
    <w:p w14:paraId="40228D76" w14:textId="77777777" w:rsidR="0049432C" w:rsidRDefault="00494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B209E4" w:rsidRDefault="00B209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E79"/>
    <w:multiLevelType w:val="multilevel"/>
    <w:tmpl w:val="3A60C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E4"/>
    <w:rsid w:val="0049432C"/>
    <w:rsid w:val="00B209E4"/>
    <w:rsid w:val="00E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40AB"/>
  <w15:docId w15:val="{383CF7AE-B215-4105-A4A9-CDDA137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s.gov.au/resources/resource-sheets/lgbtiqa-glossary-common-terms" TargetMode="External"/><Relationship Id="rId13" Type="http://schemas.openxmlformats.org/officeDocument/2006/relationships/hyperlink" Target="https://www.apa.org/about/apa/equity-diversity-inclusion/language-guidelin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ylemanual.gov.au/accessible-and-inclusive-content/inclusive-language/gender-and-sexual-diversity" TargetMode="External"/><Relationship Id="rId12" Type="http://schemas.openxmlformats.org/officeDocument/2006/relationships/hyperlink" Target="https://www.stylemanual.gov.au/accessible-and-inclusive-content/inclusive-language/aboriginal-and-torres-strait-islander-peoples" TargetMode="External"/><Relationship Id="rId17" Type="http://schemas.openxmlformats.org/officeDocument/2006/relationships/hyperlink" Target="https://usq.pressbooks.pub/openpublishingguideforauthors/chapter/diversity-and-inclus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astate.pressbooks.pub/oerstarterki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bias-free-language/socioeconomic-stat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ul.libguides.com/oer-collective-publishing-workflow/review/check-inclusion-diversity" TargetMode="External"/><Relationship Id="rId10" Type="http://schemas.openxmlformats.org/officeDocument/2006/relationships/hyperlink" Target="https://www.stylemanual.gov.au/accessible-and-inclusive-content/inclusive-language/cultural-and-linguistic-diversit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ylemanual.gov.au/accessible-and-inclusive-content/inclusive-language/people-disability" TargetMode="External"/><Relationship Id="rId14" Type="http://schemas.openxmlformats.org/officeDocument/2006/relationships/hyperlink" Target="https://www.stylemanual.gov.au/accessible-and-inclusive-content/inclusive-languag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2</cp:revision>
  <dcterms:created xsi:type="dcterms:W3CDTF">2025-05-27T00:28:00Z</dcterms:created>
  <dcterms:modified xsi:type="dcterms:W3CDTF">2025-05-27T00:28:00Z</dcterms:modified>
</cp:coreProperties>
</file>